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microct-ana-unibe-ch/microvasculature-manuscript@3f8805f</w:t>
        </w:r>
      </w:hyperlink>
      <w:r>
        <w:t xml:space="preserve"> </w:t>
      </w:r>
      <w:r>
        <w:t xml:space="preserve">on June 2,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allows us to directly assess vascularization and bone growth based on a single microCT scan (Fig.</w:t>
      </w:r>
      <w:r>
        <w:t xml:space="preserve"> </w:t>
      </w:r>
      <w:hyperlink w:anchor="fig:6">
        <w:r>
          <w:rPr>
            <w:rStyle w:val="Hyperlink"/>
          </w:rPr>
          <w:t xml:space="preserve">6</w:t>
        </w:r>
      </w:hyperlink>
      <w:r>
        <w:t xml:space="preserve">). Although finding the optimal scanning parameters may require some expertise and machine time, the single scan approach should be aimed for. While being sufficiently effecient in most cases, in some situations the single scan approach does not always yield optimal results (e.g., Fig.</w:t>
      </w:r>
      <w:r>
        <w:t xml:space="preserve"> </w:t>
      </w:r>
      <w:hyperlink w:anchor="fig:4">
        <w:r>
          <w:rPr>
            <w:rStyle w:val="Hyperlink"/>
          </w:rPr>
          <w:t xml:space="preserve">4</w:t>
        </w:r>
      </w:hyperlink>
      <w:r>
        <w:t xml:space="preserve">) and may lead to difficulties with segmentation and subsequent image analysis. Based on our experience, it is paramount to have as distinctive imaging of various components of the studied samples as possible to aid in further image analysis. 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It is advisable to conduct two sequential different energy scans without removing the sample. In this way the dataset registration needed for dual-energy approach is simplified. Altogether, this allows to avoid the time-consuming decalcification step, and provides simultaneous imaging of bone and vasculature while keeping the sample intact.</w:t>
      </w:r>
    </w:p>
    <w:p>
      <w:pPr>
        <w:pStyle w:val="BodyText"/>
      </w:pPr>
      <w:r>
        <w:t xml:space="preserve">One of the noteworthy applications of the microangioCT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3f8805f391634a12a741842dd31e2e57d9d42d2e#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3f8805f391634a12a741842dd31e2e57d9d42d2e"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3f8805f391634a12a741842dd31e2e57d9d42d2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3f8805f391634a12a741842dd31e2e57d9d42d2e#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3f8805f391634a12a741842dd31e2e57d9d42d2e"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3f8805f391634a12a741842dd31e2e57d9d42d2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cp:keywords>
  <dcterms:created xsi:type="dcterms:W3CDTF">2025-06-02T16:07:43Z</dcterms:created>
  <dcterms:modified xsi:type="dcterms:W3CDTF">2025-06-02T16:07:43Z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